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79D" w:rsidRDefault="004020FA">
      <w:r>
        <w:t>Exercício para orçamentação usando o Mapa de Quantidades Tipo oficial.</w:t>
      </w:r>
    </w:p>
    <w:p w:rsidR="004020FA" w:rsidRDefault="004020FA"/>
    <w:p w:rsidR="00EB3F75" w:rsidRPr="00EB3F75" w:rsidRDefault="00EB3F75">
      <w:pPr>
        <w:rPr>
          <w:b/>
        </w:rPr>
      </w:pPr>
      <w:r w:rsidRPr="00EB3F75">
        <w:rPr>
          <w:b/>
        </w:rPr>
        <w:t>Exercício 1:</w:t>
      </w:r>
    </w:p>
    <w:p w:rsidR="00EB3F75" w:rsidRDefault="00EB3F75"/>
    <w:p w:rsidR="004020FA" w:rsidRDefault="004020FA">
      <w:r>
        <w:t>Áreas a intervir: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696"/>
        <w:gridCol w:w="1158"/>
        <w:gridCol w:w="1354"/>
        <w:gridCol w:w="1474"/>
        <w:gridCol w:w="1487"/>
        <w:gridCol w:w="1325"/>
      </w:tblGrid>
      <w:tr w:rsidR="004020FA" w:rsidTr="004020FA">
        <w:tc>
          <w:tcPr>
            <w:tcW w:w="1696" w:type="dxa"/>
          </w:tcPr>
          <w:p w:rsidR="004020FA" w:rsidRDefault="004020FA" w:rsidP="004020FA">
            <w:pPr>
              <w:jc w:val="center"/>
            </w:pPr>
          </w:p>
        </w:tc>
        <w:tc>
          <w:tcPr>
            <w:tcW w:w="1158" w:type="dxa"/>
          </w:tcPr>
          <w:p w:rsidR="004020FA" w:rsidRDefault="004020FA" w:rsidP="004020FA">
            <w:pPr>
              <w:jc w:val="center"/>
            </w:pPr>
            <w:r>
              <w:t>L</w:t>
            </w:r>
            <w:r w:rsidR="00B65393">
              <w:t xml:space="preserve"> (m)</w:t>
            </w:r>
          </w:p>
        </w:tc>
        <w:tc>
          <w:tcPr>
            <w:tcW w:w="1354" w:type="dxa"/>
          </w:tcPr>
          <w:p w:rsidR="004020FA" w:rsidRDefault="004020FA" w:rsidP="004020FA">
            <w:pPr>
              <w:jc w:val="center"/>
            </w:pPr>
            <w:r>
              <w:t>C</w:t>
            </w:r>
            <w:r w:rsidR="00B65393">
              <w:t xml:space="preserve"> (m)</w:t>
            </w:r>
          </w:p>
        </w:tc>
        <w:tc>
          <w:tcPr>
            <w:tcW w:w="1474" w:type="dxa"/>
          </w:tcPr>
          <w:p w:rsidR="004020FA" w:rsidRDefault="004020FA" w:rsidP="004020FA">
            <w:pPr>
              <w:jc w:val="center"/>
            </w:pPr>
            <w:r>
              <w:t>Pé direito</w:t>
            </w:r>
            <w:r w:rsidR="00B65393">
              <w:t xml:space="preserve"> (m)</w:t>
            </w:r>
          </w:p>
        </w:tc>
        <w:tc>
          <w:tcPr>
            <w:tcW w:w="1487" w:type="dxa"/>
          </w:tcPr>
          <w:p w:rsidR="004020FA" w:rsidRDefault="004020FA" w:rsidP="004020FA">
            <w:pPr>
              <w:jc w:val="center"/>
            </w:pPr>
            <w:r>
              <w:t>Janelas</w:t>
            </w:r>
            <w:r w:rsidR="00B65393">
              <w:t xml:space="preserve"> (m)</w:t>
            </w:r>
          </w:p>
        </w:tc>
        <w:tc>
          <w:tcPr>
            <w:tcW w:w="1325" w:type="dxa"/>
          </w:tcPr>
          <w:p w:rsidR="004020FA" w:rsidRDefault="004020FA" w:rsidP="004020FA">
            <w:pPr>
              <w:jc w:val="center"/>
            </w:pPr>
            <w:r>
              <w:t>Porta</w:t>
            </w:r>
            <w:r w:rsidR="00B65393">
              <w:t xml:space="preserve"> (m)</w:t>
            </w:r>
          </w:p>
        </w:tc>
      </w:tr>
      <w:tr w:rsidR="004020FA" w:rsidTr="004020FA">
        <w:tc>
          <w:tcPr>
            <w:tcW w:w="1696" w:type="dxa"/>
          </w:tcPr>
          <w:p w:rsidR="004020FA" w:rsidRDefault="004020FA">
            <w:r>
              <w:t>Sala</w:t>
            </w:r>
          </w:p>
        </w:tc>
        <w:tc>
          <w:tcPr>
            <w:tcW w:w="1158" w:type="dxa"/>
          </w:tcPr>
          <w:p w:rsidR="004020FA" w:rsidRDefault="004020FA" w:rsidP="004020FA">
            <w:pPr>
              <w:jc w:val="center"/>
            </w:pPr>
            <w:r>
              <w:t>5</w:t>
            </w:r>
          </w:p>
        </w:tc>
        <w:tc>
          <w:tcPr>
            <w:tcW w:w="1354" w:type="dxa"/>
          </w:tcPr>
          <w:p w:rsidR="004020FA" w:rsidRDefault="004020FA" w:rsidP="004020FA">
            <w:pPr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4020FA" w:rsidRDefault="004020FA" w:rsidP="004020FA">
            <w:pPr>
              <w:jc w:val="center"/>
            </w:pPr>
            <w:r>
              <w:t>2,7</w:t>
            </w:r>
          </w:p>
        </w:tc>
        <w:tc>
          <w:tcPr>
            <w:tcW w:w="1487" w:type="dxa"/>
          </w:tcPr>
          <w:p w:rsidR="004020FA" w:rsidRDefault="004020FA" w:rsidP="004020FA">
            <w:pPr>
              <w:jc w:val="center"/>
            </w:pPr>
            <w:r>
              <w:t>Janela 3*1</w:t>
            </w:r>
          </w:p>
        </w:tc>
        <w:tc>
          <w:tcPr>
            <w:tcW w:w="1325" w:type="dxa"/>
          </w:tcPr>
          <w:p w:rsidR="004020FA" w:rsidRDefault="004020FA" w:rsidP="004020FA">
            <w:pPr>
              <w:jc w:val="center"/>
            </w:pPr>
            <w:r>
              <w:t>Porta 0,8*2</w:t>
            </w:r>
          </w:p>
        </w:tc>
      </w:tr>
      <w:tr w:rsidR="004020FA" w:rsidTr="004020FA">
        <w:tc>
          <w:tcPr>
            <w:tcW w:w="1696" w:type="dxa"/>
          </w:tcPr>
          <w:p w:rsidR="004020FA" w:rsidRDefault="004020FA">
            <w:r>
              <w:t>Quarto</w:t>
            </w:r>
          </w:p>
        </w:tc>
        <w:tc>
          <w:tcPr>
            <w:tcW w:w="1158" w:type="dxa"/>
          </w:tcPr>
          <w:p w:rsidR="004020FA" w:rsidRDefault="004020FA" w:rsidP="004020FA">
            <w:pPr>
              <w:jc w:val="center"/>
            </w:pPr>
            <w:r>
              <w:t>4</w:t>
            </w:r>
          </w:p>
        </w:tc>
        <w:tc>
          <w:tcPr>
            <w:tcW w:w="1354" w:type="dxa"/>
          </w:tcPr>
          <w:p w:rsidR="004020FA" w:rsidRDefault="004020FA" w:rsidP="004020FA">
            <w:pPr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B65393" w:rsidRDefault="00B65393" w:rsidP="00B65393">
            <w:pPr>
              <w:jc w:val="center"/>
            </w:pPr>
            <w:r>
              <w:t>2,7</w:t>
            </w:r>
          </w:p>
        </w:tc>
        <w:tc>
          <w:tcPr>
            <w:tcW w:w="1487" w:type="dxa"/>
          </w:tcPr>
          <w:p w:rsidR="004020FA" w:rsidRDefault="004020FA" w:rsidP="004020FA">
            <w:pPr>
              <w:jc w:val="center"/>
            </w:pPr>
            <w:r>
              <w:t>Janela 1*1</w:t>
            </w:r>
          </w:p>
        </w:tc>
        <w:tc>
          <w:tcPr>
            <w:tcW w:w="1325" w:type="dxa"/>
          </w:tcPr>
          <w:p w:rsidR="004020FA" w:rsidRDefault="004020FA" w:rsidP="004020FA">
            <w:pPr>
              <w:jc w:val="center"/>
            </w:pPr>
            <w:r>
              <w:t>Porta 0,8*2</w:t>
            </w:r>
          </w:p>
        </w:tc>
      </w:tr>
      <w:tr w:rsidR="004020FA" w:rsidTr="004020FA">
        <w:tc>
          <w:tcPr>
            <w:tcW w:w="1696" w:type="dxa"/>
          </w:tcPr>
          <w:p w:rsidR="004020FA" w:rsidRDefault="004020FA">
            <w:r>
              <w:t>Cozinha</w:t>
            </w:r>
          </w:p>
        </w:tc>
        <w:tc>
          <w:tcPr>
            <w:tcW w:w="1158" w:type="dxa"/>
          </w:tcPr>
          <w:p w:rsidR="004020FA" w:rsidRDefault="004020FA" w:rsidP="004020FA">
            <w:pPr>
              <w:jc w:val="center"/>
            </w:pPr>
            <w:r>
              <w:t>5</w:t>
            </w:r>
          </w:p>
        </w:tc>
        <w:tc>
          <w:tcPr>
            <w:tcW w:w="1354" w:type="dxa"/>
          </w:tcPr>
          <w:p w:rsidR="004020FA" w:rsidRDefault="004020FA" w:rsidP="004020FA">
            <w:pPr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4020FA" w:rsidRDefault="00B65393" w:rsidP="004020FA">
            <w:pPr>
              <w:jc w:val="center"/>
            </w:pPr>
            <w:r>
              <w:t>2,7</w:t>
            </w:r>
          </w:p>
        </w:tc>
        <w:tc>
          <w:tcPr>
            <w:tcW w:w="1487" w:type="dxa"/>
          </w:tcPr>
          <w:p w:rsidR="004020FA" w:rsidRDefault="004020FA" w:rsidP="004020FA">
            <w:pPr>
              <w:jc w:val="center"/>
            </w:pPr>
            <w:r>
              <w:t>Janela 2*2</w:t>
            </w:r>
          </w:p>
        </w:tc>
        <w:tc>
          <w:tcPr>
            <w:tcW w:w="1325" w:type="dxa"/>
          </w:tcPr>
          <w:p w:rsidR="004020FA" w:rsidRDefault="004020FA" w:rsidP="004020FA">
            <w:pPr>
              <w:jc w:val="center"/>
            </w:pPr>
            <w:r>
              <w:t>Porta 0,8*2</w:t>
            </w:r>
          </w:p>
        </w:tc>
      </w:tr>
      <w:tr w:rsidR="004020FA" w:rsidTr="004020FA">
        <w:tc>
          <w:tcPr>
            <w:tcW w:w="1696" w:type="dxa"/>
          </w:tcPr>
          <w:p w:rsidR="004020FA" w:rsidRDefault="004020FA">
            <w:r>
              <w:t>Casa de banho</w:t>
            </w:r>
          </w:p>
        </w:tc>
        <w:tc>
          <w:tcPr>
            <w:tcW w:w="1158" w:type="dxa"/>
          </w:tcPr>
          <w:p w:rsidR="004020FA" w:rsidRDefault="004020FA" w:rsidP="004020FA">
            <w:pPr>
              <w:jc w:val="center"/>
            </w:pPr>
            <w:r>
              <w:t>3</w:t>
            </w:r>
          </w:p>
        </w:tc>
        <w:tc>
          <w:tcPr>
            <w:tcW w:w="1354" w:type="dxa"/>
          </w:tcPr>
          <w:p w:rsidR="004020FA" w:rsidRDefault="004020FA" w:rsidP="004020FA">
            <w:pPr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4020FA" w:rsidRDefault="00B65393" w:rsidP="004020FA">
            <w:pPr>
              <w:jc w:val="center"/>
            </w:pPr>
            <w:r>
              <w:t>3,7</w:t>
            </w:r>
          </w:p>
        </w:tc>
        <w:tc>
          <w:tcPr>
            <w:tcW w:w="1487" w:type="dxa"/>
          </w:tcPr>
          <w:p w:rsidR="004020FA" w:rsidRDefault="004020FA" w:rsidP="004020FA">
            <w:pPr>
              <w:jc w:val="center"/>
            </w:pPr>
            <w:r>
              <w:t>Não tem</w:t>
            </w:r>
          </w:p>
        </w:tc>
        <w:tc>
          <w:tcPr>
            <w:tcW w:w="1325" w:type="dxa"/>
          </w:tcPr>
          <w:p w:rsidR="004020FA" w:rsidRDefault="004020FA" w:rsidP="004020FA">
            <w:pPr>
              <w:jc w:val="center"/>
            </w:pPr>
            <w:r>
              <w:t>Porta 0,8*2</w:t>
            </w:r>
          </w:p>
        </w:tc>
      </w:tr>
    </w:tbl>
    <w:p w:rsidR="00B65393" w:rsidRDefault="00B65393"/>
    <w:p w:rsidR="004020FA" w:rsidRDefault="004020FA">
      <w:bookmarkStart w:id="0" w:name="_GoBack"/>
      <w:bookmarkEnd w:id="0"/>
      <w:r>
        <w:t>Trabalhos a considerar:</w:t>
      </w:r>
    </w:p>
    <w:p w:rsidR="004020FA" w:rsidRDefault="004020FA"/>
    <w:p w:rsidR="004020FA" w:rsidRPr="004020FA" w:rsidRDefault="004020FA">
      <w:pPr>
        <w:rPr>
          <w:b/>
        </w:rPr>
      </w:pPr>
      <w:r w:rsidRPr="004020FA">
        <w:rPr>
          <w:b/>
        </w:rPr>
        <w:t>Sala</w:t>
      </w:r>
    </w:p>
    <w:p w:rsidR="004020FA" w:rsidRDefault="004020FA">
      <w:r>
        <w:t>Pintura de paredes</w:t>
      </w:r>
    </w:p>
    <w:p w:rsidR="004020FA" w:rsidRDefault="004020FA">
      <w:r>
        <w:t>Colocação de pavimento flutuante por cima do existente</w:t>
      </w:r>
    </w:p>
    <w:p w:rsidR="004020FA" w:rsidRDefault="004020FA">
      <w:r>
        <w:t>Substituição de rodapé</w:t>
      </w:r>
    </w:p>
    <w:p w:rsidR="004020FA" w:rsidRDefault="004020FA" w:rsidP="004020FA">
      <w:pPr>
        <w:rPr>
          <w:b/>
        </w:rPr>
      </w:pPr>
    </w:p>
    <w:p w:rsidR="004020FA" w:rsidRDefault="004020FA" w:rsidP="004020FA">
      <w:pPr>
        <w:rPr>
          <w:b/>
        </w:rPr>
      </w:pPr>
      <w:r>
        <w:rPr>
          <w:b/>
        </w:rPr>
        <w:t>Quarto</w:t>
      </w:r>
    </w:p>
    <w:p w:rsidR="004020FA" w:rsidRDefault="004020FA" w:rsidP="004020FA">
      <w:r>
        <w:t>Pintura de paredes</w:t>
      </w:r>
    </w:p>
    <w:p w:rsidR="004020FA" w:rsidRDefault="004020FA" w:rsidP="004020FA">
      <w:r>
        <w:t>Colocação de pavimento flutuante por cima do existente</w:t>
      </w:r>
    </w:p>
    <w:p w:rsidR="004020FA" w:rsidRDefault="004020FA" w:rsidP="004020FA">
      <w:r>
        <w:t>Substituição de rodapé</w:t>
      </w:r>
    </w:p>
    <w:p w:rsidR="004020FA" w:rsidRDefault="004020FA" w:rsidP="004020FA">
      <w:pPr>
        <w:rPr>
          <w:b/>
        </w:rPr>
      </w:pPr>
    </w:p>
    <w:p w:rsidR="004020FA" w:rsidRDefault="004020FA" w:rsidP="004020FA">
      <w:pPr>
        <w:rPr>
          <w:b/>
        </w:rPr>
      </w:pPr>
      <w:r>
        <w:rPr>
          <w:b/>
        </w:rPr>
        <w:t>Cozinha</w:t>
      </w:r>
    </w:p>
    <w:p w:rsidR="004020FA" w:rsidRPr="004020FA" w:rsidRDefault="004020FA" w:rsidP="004020FA">
      <w:r w:rsidRPr="004020FA">
        <w:t>Substituição dos azulejos (considerar que vão até ao teto)</w:t>
      </w:r>
    </w:p>
    <w:p w:rsidR="004020FA" w:rsidRPr="004020FA" w:rsidRDefault="004020FA" w:rsidP="004020FA">
      <w:r w:rsidRPr="004020FA">
        <w:t>Substituição de móveis para brancos brilhantes e tampo COMPAC ARENA</w:t>
      </w:r>
    </w:p>
    <w:p w:rsidR="004020FA" w:rsidRDefault="004020FA" w:rsidP="004020FA">
      <w:pPr>
        <w:rPr>
          <w:b/>
        </w:rPr>
      </w:pPr>
    </w:p>
    <w:p w:rsidR="004020FA" w:rsidRDefault="004020FA" w:rsidP="004020FA">
      <w:pPr>
        <w:rPr>
          <w:b/>
        </w:rPr>
      </w:pPr>
      <w:r>
        <w:rPr>
          <w:b/>
        </w:rPr>
        <w:t>Casa de banho</w:t>
      </w:r>
    </w:p>
    <w:p w:rsidR="007C4271" w:rsidRDefault="00633934" w:rsidP="00633934">
      <w:r>
        <w:t>Retirar as loiças sanitárias para posterior reaplicação.</w:t>
      </w:r>
    </w:p>
    <w:p w:rsidR="00A72E74" w:rsidRDefault="00A72E74">
      <w:r>
        <w:t>Substituição dos azulejos</w:t>
      </w:r>
      <w:r w:rsidR="006463A4">
        <w:t>.</w:t>
      </w:r>
    </w:p>
    <w:p w:rsidR="00A72E74" w:rsidRDefault="00A72E74">
      <w:r>
        <w:t>Aplicação de teto falso com iluminação</w:t>
      </w:r>
      <w:r w:rsidR="006463A4">
        <w:t>.</w:t>
      </w:r>
    </w:p>
    <w:p w:rsidR="004020FA" w:rsidRDefault="004020FA"/>
    <w:p w:rsidR="00586A2A" w:rsidRDefault="00586A2A"/>
    <w:p w:rsidR="00586A2A" w:rsidRPr="00586A2A" w:rsidRDefault="00586A2A">
      <w:pPr>
        <w:rPr>
          <w:b/>
        </w:rPr>
      </w:pPr>
      <w:r w:rsidRPr="00586A2A">
        <w:rPr>
          <w:b/>
        </w:rPr>
        <w:lastRenderedPageBreak/>
        <w:t>Exercício 2</w:t>
      </w:r>
    </w:p>
    <w:p w:rsidR="00586A2A" w:rsidRDefault="00586A2A">
      <w:r>
        <w:t>Colocação dos valores de custo e do valor de venda. Aplicar k = 35%.</w:t>
      </w:r>
    </w:p>
    <w:p w:rsidR="00586A2A" w:rsidRDefault="00586A2A"/>
    <w:p w:rsidR="00586A2A" w:rsidRDefault="00586A2A">
      <w:pPr>
        <w:rPr>
          <w:b/>
        </w:rPr>
      </w:pPr>
      <w:r w:rsidRPr="00586A2A">
        <w:rPr>
          <w:b/>
        </w:rPr>
        <w:t>Exercício 3</w:t>
      </w:r>
    </w:p>
    <w:p w:rsidR="00E25F8E" w:rsidRDefault="00E25F8E">
      <w:r w:rsidRPr="00E25F8E">
        <w:t>Fazer o Documento de Orçamento para entregar</w:t>
      </w:r>
      <w:r>
        <w:t xml:space="preserve"> ao Cliente. Passos:</w:t>
      </w:r>
    </w:p>
    <w:p w:rsidR="00E25F8E" w:rsidRDefault="00E25F8E" w:rsidP="00E25F8E">
      <w:pPr>
        <w:pStyle w:val="PargrafodaLista"/>
        <w:numPr>
          <w:ilvl w:val="0"/>
          <w:numId w:val="1"/>
        </w:numPr>
      </w:pPr>
      <w:r>
        <w:t>R</w:t>
      </w:r>
      <w:r w:rsidRPr="00E25F8E">
        <w:t>etirar da Extrane</w:t>
      </w:r>
      <w:r>
        <w:t>t de um Cliente Fictício</w:t>
      </w:r>
    </w:p>
    <w:p w:rsidR="00E25F8E" w:rsidRDefault="00E25F8E" w:rsidP="00E25F8E">
      <w:pPr>
        <w:pStyle w:val="PargrafodaLista"/>
        <w:numPr>
          <w:ilvl w:val="0"/>
          <w:numId w:val="1"/>
        </w:numPr>
      </w:pPr>
      <w:r>
        <w:t>C</w:t>
      </w:r>
      <w:r w:rsidRPr="00E25F8E">
        <w:t>olocar a tabela de o</w:t>
      </w:r>
      <w:r>
        <w:t>rçamento</w:t>
      </w:r>
    </w:p>
    <w:p w:rsidR="00E25F8E" w:rsidRDefault="00E25F8E" w:rsidP="00E25F8E">
      <w:pPr>
        <w:pStyle w:val="PargrafodaLista"/>
        <w:numPr>
          <w:ilvl w:val="0"/>
          <w:numId w:val="1"/>
        </w:numPr>
      </w:pPr>
      <w:r>
        <w:t>F</w:t>
      </w:r>
      <w:r w:rsidRPr="00E25F8E">
        <w:t>azer as</w:t>
      </w:r>
      <w:r>
        <w:t xml:space="preserve"> demais alterações necessárias</w:t>
      </w:r>
    </w:p>
    <w:p w:rsidR="00E25F8E" w:rsidRDefault="00E25F8E" w:rsidP="00E25F8E">
      <w:pPr>
        <w:pStyle w:val="PargrafodaLista"/>
        <w:ind w:left="1428"/>
      </w:pPr>
    </w:p>
    <w:p w:rsidR="00E25F8E" w:rsidRDefault="00E25F8E" w:rsidP="00E25F8E">
      <w:pPr>
        <w:rPr>
          <w:b/>
        </w:rPr>
      </w:pPr>
      <w:r w:rsidRPr="00E25F8E">
        <w:rPr>
          <w:b/>
        </w:rPr>
        <w:t>Exercício 4</w:t>
      </w:r>
    </w:p>
    <w:p w:rsidR="00EB3F75" w:rsidRDefault="00E25F8E" w:rsidP="00E25F8E">
      <w:r w:rsidRPr="00E25F8E">
        <w:t xml:space="preserve">Colocar na pasta certa da </w:t>
      </w:r>
      <w:proofErr w:type="spellStart"/>
      <w:r>
        <w:t>Cloud</w:t>
      </w:r>
      <w:proofErr w:type="spellEnd"/>
      <w:r>
        <w:t xml:space="preserve"> (</w:t>
      </w:r>
      <w:proofErr w:type="spellStart"/>
      <w:r>
        <w:t>Dropbox</w:t>
      </w:r>
      <w:proofErr w:type="spellEnd"/>
      <w:r>
        <w:t xml:space="preserve"> ou </w:t>
      </w:r>
      <w:proofErr w:type="spellStart"/>
      <w:r>
        <w:t>Bitrix</w:t>
      </w:r>
      <w:proofErr w:type="spellEnd"/>
      <w:r>
        <w:t xml:space="preserve"> Drive).</w:t>
      </w:r>
    </w:p>
    <w:p w:rsidR="00EB3F75" w:rsidRDefault="00EB3F75">
      <w:r>
        <w:br w:type="page"/>
      </w:r>
    </w:p>
    <w:p w:rsidR="00EB3F75" w:rsidRPr="00EB3F75" w:rsidRDefault="00EB3F75" w:rsidP="00E25F8E">
      <w:pPr>
        <w:rPr>
          <w:b/>
        </w:rPr>
      </w:pPr>
      <w:r w:rsidRPr="00EB3F75">
        <w:rPr>
          <w:b/>
        </w:rPr>
        <w:lastRenderedPageBreak/>
        <w:t>Mapa de Quantidades do Exercício 1</w:t>
      </w:r>
    </w:p>
    <w:p w:rsidR="00E25F8E" w:rsidRDefault="00E25F8E" w:rsidP="00E25F8E"/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480"/>
        <w:gridCol w:w="1300"/>
      </w:tblGrid>
      <w:tr w:rsidR="007C4271" w:rsidRPr="007C4271" w:rsidTr="007C4271">
        <w:trPr>
          <w:trHeight w:val="62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#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DESCRIÇÃO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VALOR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7C4271" w:rsidRPr="007C4271" w:rsidTr="007C4271">
        <w:trPr>
          <w:trHeight w:val="310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SALA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Pinturas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Interiores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93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1.1.1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Fornecimento e pintura de paredes interiores com 1ª demão de isolante primário tipo CIN EPGC300 e 2 demãos de tinta tipo CIN VINYLMATT, cor a definir.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Pavimentos e Rodapés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2.1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Revestimentos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155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2.1.1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Fornecimento e aplicação de pavimento flutuante AC4 sobre ladrilho existente, até 12,00 €/m2 + IVA, incluindo fornecimento e aplicação de filme de polietileno e perfis (</w:t>
            </w:r>
            <w:proofErr w:type="spellStart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Azulima</w:t>
            </w:r>
            <w:proofErr w:type="spellEnd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) de remate nas zonas de transição entre diferentes pavimentos, bem como todos os trabalhos, materiais e acessórios ao seu perfeito acabamento.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93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2.1.2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Fornecimento e aplicação de Rodapé em PVC branco com 6 cm de altura, PVP até 2,00 €/ml + IVA, incluindo todos os trabalhos, materiais e acessórios necessários ao seu perfeito acabamento.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29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7C4271" w:rsidRPr="007C4271" w:rsidTr="007C4271">
        <w:trPr>
          <w:trHeight w:val="290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QUARTO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Pinturas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3.1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Interiores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3.1.1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Fornecimento e pintura de paredes interiores com 1ª demão de isolante primário tipo CIN EPGC300 e 2 demãos de tinta tipo CIN VINYLMATT, cor a definir.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Pavimentos e Rodapés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4.1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Revestimentos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155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4.1.1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Fornecimento e aplicação de pavimento flutuante AC4 sobre ladrilho existente, até 12,00 €/m2 + IVA, incluindo fornecimento e aplicação de filme de polietileno e perfis (</w:t>
            </w:r>
            <w:proofErr w:type="spellStart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Azulima</w:t>
            </w:r>
            <w:proofErr w:type="spellEnd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) de remate nas zonas de transição entre diferentes pavimentos, bem como todos os trabalhos, materiais e acessórios ao seu perfeito acabamento.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93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4.1.2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Fornecimento e aplicação de Rodapé em PVC branco com 6 cm de altura, PVP até 2,00 €/ml + IVA, incluindo todos os trabalhos, materiais e acessórios necessários ao seu perfeito acabamento.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29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7C4271" w:rsidRPr="007C4271" w:rsidTr="007C4271">
        <w:trPr>
          <w:trHeight w:val="290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COZINHA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5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Demolições e trabalhos preparatórios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5.1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Demolições e trabalhos preparatórios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124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lastRenderedPageBreak/>
              <w:t>5.1.1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Remoção de revestimento cerâmico de parede existente, incluindo preparação da base para assentamento de novo revestimento em azulejo, bem como transporte de todos os materiais sobrantes a vazadouro.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6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Revestimento de Paredes e Tetos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6.1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Paredes Interiores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155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6.1.1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Fornecimento e assentamento de revestimento cerâmico de parede até 12,00 €/m2 + IVA, incluindo preparação prévia do suporte, aplicação de cimento cola adequado, betumagem de juntas, remates, cortes, limpeza final e todos os trabalhos e materiais necessários a um perfeito acabamento.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Cozinhas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7.1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Móveis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217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7.1.1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 xml:space="preserve">Fornecimento e aplicação de móveis de cozinha superiores e inferiores com 16mm de espessura com cantos em PVC de 1,2mm, </w:t>
            </w:r>
            <w:proofErr w:type="gramStart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dobradiças tipo</w:t>
            </w:r>
            <w:proofErr w:type="gramEnd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 xml:space="preserve"> "BLUM" de colocação automática com base de regulação tripla, gavetas </w:t>
            </w:r>
            <w:proofErr w:type="spellStart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blum</w:t>
            </w:r>
            <w:proofErr w:type="spellEnd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 xml:space="preserve"> com laterais metálicos de </w:t>
            </w:r>
            <w:proofErr w:type="spellStart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extracção</w:t>
            </w:r>
            <w:proofErr w:type="spellEnd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 xml:space="preserve"> total e amortecedor de fecho, amortecedores de porta tipo "BLUM", painéis e réguas, puxadores em inox, rodapé 15cm e porta Talheres, com portas em </w:t>
            </w:r>
            <w:proofErr w:type="spellStart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Postforming</w:t>
            </w:r>
            <w:proofErr w:type="spellEnd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, branco brilhante.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7.2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Tampo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93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7.2.1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 xml:space="preserve">Fornecimento e montagem de tampo em Pedra </w:t>
            </w:r>
            <w:proofErr w:type="spellStart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Artificialda</w:t>
            </w:r>
            <w:proofErr w:type="spellEnd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Compac</w:t>
            </w:r>
            <w:proofErr w:type="spellEnd"/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 xml:space="preserve"> Arena, incluindo roda-tampo com 3cm, com execução de buracos e todos os trabalhos inerentes.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29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7C4271" w:rsidRPr="007C4271" w:rsidTr="007C4271">
        <w:trPr>
          <w:trHeight w:val="290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CASA DE BANHO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8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Demolições e trabalhos preparatórios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8.1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Demolições e trabalhos preparatórios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96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8.1.1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Remoção de revestimento cerâmico de parede existente, incluindo preparação da base para assentamento de novo revestimento em azulejo, bem como transporte de todos os materiais sobrantes a vazadouro.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62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8.1.2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Remoção integral de todas as loiças sanitárias existentes e armazenamento para posterior aplicação.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9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Revestimento de Paredes e Tetos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9.1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Paredes Interiores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155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9.1.1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Fornecimento e assentamento de revestimento cerâmico de parede até 12,00 €/m2 + IVA, incluindo preparação prévia do suporte, aplicação de cimento cola adequado, betumagem de juntas, remates, cortes, limpeza final e todos os trabalhos e materiais necessários a um perfeito acabamento.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10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Equipamento Sanitário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BFA97D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 </w:t>
            </w:r>
          </w:p>
        </w:tc>
      </w:tr>
      <w:tr w:rsidR="007C4271" w:rsidRPr="007C4271" w:rsidTr="007C4271">
        <w:trPr>
          <w:trHeight w:val="31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271" w:rsidRPr="007C4271" w:rsidRDefault="007C4271" w:rsidP="007C4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10.1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7C4271">
              <w:rPr>
                <w:rFonts w:ascii="Calibri" w:eastAsia="Times New Roman" w:hAnsi="Calibri" w:cs="Calibri"/>
                <w:sz w:val="24"/>
                <w:szCs w:val="24"/>
                <w:lang w:eastAsia="pt-PT"/>
              </w:rPr>
              <w:t>Aplicação das loiças sanitárias existentes.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271" w:rsidRPr="007C4271" w:rsidRDefault="007C4271" w:rsidP="007C4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</w:p>
        </w:tc>
      </w:tr>
    </w:tbl>
    <w:p w:rsidR="00EB3F75" w:rsidRDefault="00EB3F75" w:rsidP="00E25F8E"/>
    <w:p w:rsidR="00E25F8E" w:rsidRPr="00E25F8E" w:rsidRDefault="00E25F8E" w:rsidP="00E25F8E"/>
    <w:sectPr w:rsidR="00E25F8E" w:rsidRPr="00E25F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B551C"/>
    <w:multiLevelType w:val="hybridMultilevel"/>
    <w:tmpl w:val="ACAE33FA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0F0"/>
    <w:rsid w:val="0000779D"/>
    <w:rsid w:val="00355049"/>
    <w:rsid w:val="004020FA"/>
    <w:rsid w:val="00586A2A"/>
    <w:rsid w:val="00633934"/>
    <w:rsid w:val="006463A4"/>
    <w:rsid w:val="007C4271"/>
    <w:rsid w:val="00A72E74"/>
    <w:rsid w:val="00B65393"/>
    <w:rsid w:val="00E25F8E"/>
    <w:rsid w:val="00EB3F75"/>
    <w:rsid w:val="00FB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3B07CF-7E58-4AB1-899B-AF89B5AA8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402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25F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769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4</cp:revision>
  <dcterms:created xsi:type="dcterms:W3CDTF">2019-05-23T16:51:00Z</dcterms:created>
  <dcterms:modified xsi:type="dcterms:W3CDTF">2019-05-27T17:09:00Z</dcterms:modified>
</cp:coreProperties>
</file>